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</w:t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результатах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проверок, проведенных отделом внутреннего контроля и аудита </w:t>
      </w:r>
      <w:r>
        <w:rPr>
          <w:b/>
          <w:sz w:val="28"/>
          <w:szCs w:val="28"/>
        </w:rPr>
        <w:t xml:space="preserve">УФК </w:t>
      </w:r>
      <w:r>
        <w:rPr>
          <w:b/>
          <w:sz w:val="28"/>
          <w:szCs w:val="28"/>
        </w:rPr>
        <w:t xml:space="preserve">по Ростовской области</w:t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 xml:space="preserve">Основание для проведения проверки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План ведомственного контроля и аудита на 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год Управления Федерального казначейства по Ростовской области, утвержденны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октября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 изменениями, утвержденными </w:t>
      </w:r>
      <w:r>
        <w:rPr>
          <w:sz w:val="28"/>
          <w:szCs w:val="28"/>
        </w:rPr>
        <w:t xml:space="preserve">26</w:t>
      </w:r>
      <w:r>
        <w:rPr>
          <w:sz w:val="28"/>
          <w:szCs w:val="28"/>
        </w:rPr>
        <w:t xml:space="preserve">.12.2025, </w:t>
      </w:r>
      <w:r>
        <w:rPr>
          <w:sz w:val="28"/>
          <w:szCs w:val="28"/>
        </w:rPr>
        <w:t xml:space="preserve">25.02.2026).</w:t>
      </w:r>
      <w:r>
        <w:rPr>
          <w:sz w:val="28"/>
          <w:szCs w:val="28"/>
        </w:rPr>
      </w:r>
    </w:p>
    <w:p>
      <w:pPr>
        <w:ind w:firstLine="720"/>
        <w:jc w:val="both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риказ </w:t>
      </w:r>
      <w:r>
        <w:rPr>
          <w:sz w:val="28"/>
          <w:szCs w:val="28"/>
        </w:rPr>
        <w:t xml:space="preserve">Управления Федерального казначейства по Ростовской области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мая</w:t>
      </w:r>
      <w:r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г. № </w:t>
      </w:r>
      <w:r>
        <w:rPr>
          <w:sz w:val="28"/>
          <w:szCs w:val="28"/>
        </w:rPr>
        <w:t xml:space="preserve">417</w:t>
      </w:r>
      <w:r>
        <w:rPr>
          <w:sz w:val="28"/>
          <w:szCs w:val="28"/>
        </w:rPr>
        <w:t xml:space="preserve"> «</w:t>
      </w:r>
      <w:r>
        <w:rPr>
          <w:bCs/>
          <w:sz w:val="28"/>
          <w:szCs w:val="28"/>
        </w:rPr>
        <w:t xml:space="preserve">О проведении проверки деятельности отдела </w:t>
      </w:r>
      <w:r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 xml:space="preserve">1</w:t>
      </w:r>
      <w:r>
        <w:rPr>
          <w:bCs/>
          <w:sz w:val="28"/>
          <w:szCs w:val="28"/>
        </w:rPr>
        <w:t xml:space="preserve">6</w:t>
      </w:r>
      <w:r>
        <w:rPr>
          <w:bCs/>
          <w:sz w:val="28"/>
          <w:szCs w:val="28"/>
        </w:rPr>
        <w:t xml:space="preserve"> Уп</w:t>
      </w:r>
      <w:r>
        <w:rPr>
          <w:bCs/>
          <w:sz w:val="28"/>
          <w:szCs w:val="28"/>
        </w:rPr>
        <w:t xml:space="preserve">равления Федерального казначейства по Ростовской области»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Тема проверки:</w:t>
      </w:r>
      <w:r>
        <w:rPr>
          <w:b/>
          <w:bCs/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Проверка деятельности </w:t>
      </w:r>
      <w:r>
        <w:rPr>
          <w:sz w:val="28"/>
          <w:szCs w:val="28"/>
        </w:rPr>
        <w:t xml:space="preserve">отдела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Управления Федерального казначейства по Ростовской области </w:t>
      </w:r>
      <w:r>
        <w:rPr>
          <w:sz w:val="28"/>
          <w:szCs w:val="28"/>
        </w:rPr>
        <w:t xml:space="preserve">по исполнению </w:t>
      </w:r>
      <w:r>
        <w:rPr>
          <w:sz w:val="28"/>
          <w:szCs w:val="28"/>
        </w:rPr>
        <w:t xml:space="preserve">отдельных </w:t>
      </w:r>
      <w:r>
        <w:rPr>
          <w:sz w:val="28"/>
          <w:szCs w:val="28"/>
        </w:rPr>
        <w:t xml:space="preserve">государственных функций и полномочий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 xml:space="preserve">Проверяемый период: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октябрь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 xml:space="preserve">декабрь 202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г., </w:t>
      </w:r>
      <w:r>
        <w:rPr>
          <w:sz w:val="28"/>
          <w:szCs w:val="28"/>
        </w:rPr>
        <w:t xml:space="preserve">январь – март </w:t>
      </w:r>
      <w:r>
        <w:rPr>
          <w:sz w:val="28"/>
          <w:szCs w:val="28"/>
        </w:rPr>
        <w:t xml:space="preserve">202</w:t>
      </w:r>
      <w:r>
        <w:rPr>
          <w:sz w:val="28"/>
          <w:szCs w:val="28"/>
        </w:rPr>
        <w:t xml:space="preserve">6 г.</w:t>
      </w:r>
      <w:r>
        <w:rPr>
          <w:sz w:val="28"/>
          <w:szCs w:val="28"/>
        </w:rPr>
      </w:r>
    </w:p>
    <w:p>
      <w:pPr>
        <w:ind w:firstLine="720"/>
        <w:jc w:val="both"/>
        <w:shd w:val="clear" w:color="auto" w:fill="ffffff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shd w:val="clear" w:color="auto" w:fill="ffffff"/>
        <w:widowControl w:val="off"/>
        <w:rPr>
          <w:sz w:val="28"/>
          <w:szCs w:val="28"/>
        </w:rPr>
      </w:pPr>
      <w:r>
        <w:rPr>
          <w:b/>
          <w:sz w:val="28"/>
          <w:szCs w:val="28"/>
        </w:rPr>
        <w:t xml:space="preserve">Срок проведения проверки: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01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05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июня</w:t>
      </w:r>
      <w:r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</w:r>
    </w:p>
    <w:p>
      <w:pPr>
        <w:ind w:firstLine="709"/>
        <w:jc w:val="both"/>
        <w:shd w:val="clear" w:color="auto" w:fill="ffffff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20"/>
        <w:shd w:val="clear" w:color="auto" w:fill="ffffff"/>
        <w:rPr>
          <w:sz w:val="28"/>
          <w:szCs w:val="28"/>
          <w:highlight w:val="yellow"/>
        </w:rPr>
      </w:pPr>
      <w:r>
        <w:rPr>
          <w:b/>
          <w:sz w:val="28"/>
          <w:szCs w:val="28"/>
        </w:rPr>
        <w:t xml:space="preserve">Метод проведения проверки: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тематическая </w:t>
      </w:r>
      <w:r>
        <w:rPr>
          <w:sz w:val="28"/>
          <w:szCs w:val="28"/>
        </w:rPr>
        <w:t xml:space="preserve">проверка.</w:t>
      </w:r>
      <w:r>
        <w:rPr>
          <w:sz w:val="28"/>
          <w:szCs w:val="28"/>
          <w:highlight w:val="yellow"/>
        </w:rPr>
      </w:r>
    </w:p>
    <w:p>
      <w:pPr>
        <w:ind w:firstLine="709"/>
        <w:jc w:val="both"/>
        <w:shd w:val="clear" w:color="auto" w:fill="ffffff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20"/>
        <w:shd w:val="clear" w:color="auto" w:fill="ffffff"/>
        <w:rPr>
          <w:sz w:val="28"/>
          <w:szCs w:val="28"/>
          <w:highlight w:val="yellow"/>
        </w:rPr>
      </w:pPr>
      <w:r>
        <w:rPr>
          <w:b/>
          <w:sz w:val="28"/>
          <w:szCs w:val="28"/>
        </w:rPr>
        <w:t xml:space="preserve">Вид</w:t>
      </w:r>
      <w:r>
        <w:rPr>
          <w:b/>
          <w:sz w:val="28"/>
          <w:szCs w:val="28"/>
        </w:rPr>
        <w:t xml:space="preserve"> проведения проверки: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камеральная </w:t>
      </w:r>
      <w:r>
        <w:rPr>
          <w:sz w:val="28"/>
          <w:szCs w:val="28"/>
        </w:rPr>
        <w:t xml:space="preserve">проверка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highlight w:val="yellow"/>
        </w:rPr>
      </w:r>
    </w:p>
    <w:p>
      <w:pPr>
        <w:ind w:firstLine="706"/>
        <w:jc w:val="both"/>
        <w:shd w:val="clear" w:color="auto" w:fill="ffffff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6"/>
        <w:jc w:val="both"/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 xml:space="preserve">Способ проведения проверки:</w:t>
      </w:r>
      <w:r>
        <w:rPr>
          <w:sz w:val="28"/>
          <w:szCs w:val="28"/>
        </w:rPr>
        <w:t xml:space="preserve"> выборочная проверка.</w:t>
      </w:r>
      <w:r>
        <w:rPr>
          <w:sz w:val="28"/>
          <w:szCs w:val="28"/>
        </w:rPr>
      </w:r>
    </w:p>
    <w:p>
      <w:pPr>
        <w:ind w:firstLine="709"/>
        <w:jc w:val="both"/>
        <w:shd w:val="clear" w:color="auto" w:fill="ffffff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20"/>
        <w:jc w:val="both"/>
        <w:shd w:val="clear" w:color="auto" w:fill="ffff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Результаты проверки:</w:t>
      </w:r>
      <w:r>
        <w:rPr>
          <w:b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проверки </w:t>
      </w:r>
      <w:r>
        <w:rPr>
          <w:sz w:val="28"/>
          <w:szCs w:val="28"/>
        </w:rPr>
        <w:t xml:space="preserve">отдела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УФК</w:t>
      </w:r>
      <w:r>
        <w:rPr>
          <w:sz w:val="28"/>
          <w:szCs w:val="28"/>
        </w:rPr>
        <w:t xml:space="preserve"> по Ростовской области </w:t>
      </w:r>
      <w:r>
        <w:rPr>
          <w:sz w:val="28"/>
          <w:szCs w:val="28"/>
        </w:rPr>
        <w:t xml:space="preserve">(далее – </w:t>
      </w:r>
      <w:r>
        <w:rPr>
          <w:sz w:val="28"/>
          <w:szCs w:val="28"/>
        </w:rPr>
        <w:t xml:space="preserve">отдел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исполнению отдельных государственных функций и полномочий </w:t>
      </w:r>
      <w:r>
        <w:rPr>
          <w:sz w:val="28"/>
          <w:szCs w:val="28"/>
        </w:rPr>
        <w:t xml:space="preserve">оформлен Акт проверки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04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06</w:t>
      </w:r>
      <w:r>
        <w:rPr>
          <w:sz w:val="28"/>
          <w:szCs w:val="28"/>
        </w:rPr>
        <w:t xml:space="preserve">.20</w:t>
      </w:r>
      <w:r>
        <w:rPr>
          <w:sz w:val="28"/>
          <w:szCs w:val="28"/>
        </w:rPr>
        <w:t xml:space="preserve">26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464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Деятельность отдела № 1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о</w:t>
      </w:r>
      <w:r>
        <w:rPr>
          <w:rFonts w:eastAsiaTheme="minorHAnsi"/>
          <w:sz w:val="28"/>
          <w:szCs w:val="28"/>
          <w:lang w:eastAsia="en-US"/>
        </w:rPr>
        <w:t xml:space="preserve">существлени</w:t>
      </w:r>
      <w:r>
        <w:rPr>
          <w:rFonts w:eastAsiaTheme="minorHAnsi"/>
          <w:sz w:val="28"/>
          <w:szCs w:val="28"/>
          <w:lang w:eastAsia="en-US"/>
        </w:rPr>
        <w:t xml:space="preserve">ю</w:t>
      </w:r>
      <w:r>
        <w:rPr>
          <w:rFonts w:eastAsiaTheme="minorHAnsi"/>
          <w:sz w:val="28"/>
          <w:szCs w:val="28"/>
          <w:lang w:eastAsia="en-US"/>
        </w:rPr>
        <w:t xml:space="preserve"> контрольных функций, предусмотренных положениями </w:t>
      </w:r>
      <w:hyperlink r:id="rId10" w:tooltip="https://login.consultant.ru/link/?req=doc&amp;base=LAW&amp;n=466154&amp;dst=2038" w:history="1">
        <w:r>
          <w:rPr>
            <w:rFonts w:eastAsiaTheme="minorHAnsi"/>
            <w:sz w:val="28"/>
            <w:szCs w:val="28"/>
            <w:lang w:eastAsia="en-US"/>
          </w:rPr>
          <w:t xml:space="preserve">части 5 </w:t>
        </w:r>
        <w:r>
          <w:rPr>
            <w:sz w:val="28"/>
            <w:szCs w:val="28"/>
          </w:rPr>
          <w:t xml:space="preserve">и </w:t>
        </w:r>
        <w:r>
          <w:rPr>
            <w:sz w:val="28"/>
            <w:szCs w:val="28"/>
          </w:rPr>
          <w:t xml:space="preserve">5.1 статьи 99</w:t>
        </w:r>
      </w:hyperlink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Федерального зако</w:t>
      </w:r>
      <w:r>
        <w:rPr>
          <w:rFonts w:eastAsiaTheme="minorHAnsi"/>
          <w:sz w:val="28"/>
          <w:szCs w:val="28"/>
          <w:lang w:eastAsia="en-US"/>
        </w:rPr>
        <w:t xml:space="preserve">на от 5 апреля 2013 г. № 44-ФЗ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«</w:t>
      </w:r>
      <w:r>
        <w:rPr>
          <w:rFonts w:eastAsiaTheme="minorHAnsi"/>
          <w:sz w:val="28"/>
          <w:szCs w:val="28"/>
          <w:lang w:eastAsia="en-US"/>
        </w:rPr>
        <w:t xml:space="preserve">О контрактной системе в сфере закупок товаров, работ, услуг для обеспечения государственных и муниципальных нужд</w:t>
      </w:r>
      <w:r>
        <w:rPr>
          <w:rFonts w:eastAsiaTheme="minorHAnsi"/>
          <w:sz w:val="28"/>
          <w:szCs w:val="28"/>
          <w:lang w:eastAsia="en-US"/>
        </w:rPr>
        <w:t xml:space="preserve">» </w:t>
      </w:r>
      <w:r>
        <w:rPr>
          <w:rFonts w:eastAsiaTheme="minorHAnsi"/>
          <w:sz w:val="28"/>
          <w:szCs w:val="28"/>
          <w:lang w:eastAsia="en-US"/>
        </w:rPr>
        <w:t xml:space="preserve">и </w:t>
      </w:r>
      <w:hyperlink r:id="rId11" w:tooltip="https://login.consultant.ru/link/?req=doc&amp;base=LAW&amp;n=499084&amp;dst=100826" w:history="1">
        <w:r>
          <w:rPr>
            <w:rFonts w:eastAsiaTheme="minorHAnsi"/>
            <w:sz w:val="28"/>
            <w:szCs w:val="28"/>
            <w:lang w:eastAsia="en-US"/>
          </w:rPr>
          <w:t xml:space="preserve">пунктами 15</w:t>
        </w:r>
      </w:hyperlink>
      <w:r>
        <w:rPr>
          <w:rFonts w:eastAsiaTheme="minorHAnsi"/>
          <w:sz w:val="28"/>
          <w:szCs w:val="28"/>
          <w:lang w:eastAsia="en-US"/>
        </w:rPr>
        <w:t xml:space="preserve">, </w:t>
      </w:r>
      <w:hyperlink r:id="rId12" w:tooltip="https://login.consultant.ru/link/?req=doc&amp;base=LAW&amp;n=499084&amp;dst=100842" w:history="1">
        <w:r>
          <w:rPr>
            <w:rFonts w:eastAsiaTheme="minorHAnsi"/>
            <w:sz w:val="28"/>
            <w:szCs w:val="28"/>
            <w:lang w:eastAsia="en-US"/>
          </w:rPr>
          <w:t xml:space="preserve">16</w:t>
        </w:r>
      </w:hyperlink>
      <w:r>
        <w:rPr>
          <w:rFonts w:eastAsiaTheme="minorHAnsi"/>
          <w:sz w:val="28"/>
          <w:szCs w:val="28"/>
          <w:lang w:eastAsia="en-US"/>
        </w:rPr>
        <w:t xml:space="preserve"> Правил ведения реестра контрактов, заключенных заказчиками, утвер</w:t>
      </w:r>
      <w:r>
        <w:rPr>
          <w:rFonts w:eastAsiaTheme="minorHAnsi"/>
          <w:sz w:val="28"/>
          <w:szCs w:val="28"/>
          <w:lang w:eastAsia="en-US"/>
        </w:rPr>
        <w:t xml:space="preserve">жденных </w:t>
      </w:r>
      <w:r>
        <w:rPr>
          <w:rFonts w:eastAsiaTheme="minorHAnsi"/>
          <w:sz w:val="28"/>
          <w:szCs w:val="28"/>
          <w:lang w:eastAsia="en-US"/>
        </w:rPr>
        <w:t xml:space="preserve">постановлением Правительства Российской Федерации от 27 января 2022 г. </w:t>
      </w:r>
      <w:r>
        <w:rPr>
          <w:rFonts w:eastAsiaTheme="minorHAnsi"/>
          <w:sz w:val="28"/>
          <w:szCs w:val="28"/>
          <w:lang w:eastAsia="en-US"/>
        </w:rPr>
        <w:t xml:space="preserve">№</w:t>
      </w:r>
      <w:r>
        <w:rPr>
          <w:rFonts w:eastAsiaTheme="minorHAnsi"/>
          <w:sz w:val="28"/>
          <w:szCs w:val="28"/>
          <w:lang w:eastAsia="en-US"/>
        </w:rPr>
        <w:t xml:space="preserve"> 60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осуществлялась в </w:t>
      </w:r>
      <w:r>
        <w:rPr>
          <w:sz w:val="28"/>
          <w:szCs w:val="28"/>
        </w:rPr>
        <w:t xml:space="preserve">целом </w:t>
      </w:r>
      <w:r>
        <w:rPr>
          <w:sz w:val="28"/>
          <w:szCs w:val="28"/>
        </w:rPr>
        <w:t xml:space="preserve">в соответствии с требованиями НПА, проверкой выявлены </w:t>
      </w:r>
      <w:r>
        <w:rPr>
          <w:sz w:val="28"/>
          <w:szCs w:val="28"/>
        </w:rPr>
        <w:t xml:space="preserve">еди</w:t>
      </w:r>
      <w:bookmarkStart w:id="0" w:name="_GoBack"/>
      <w:r/>
      <w:bookmarkEnd w:id="0"/>
      <w:r>
        <w:rPr>
          <w:sz w:val="28"/>
          <w:szCs w:val="28"/>
        </w:rPr>
        <w:t xml:space="preserve">ничные нарушения не носящие систематического характера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567" w:bottom="851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087504817"/>
      <w:docPartObj>
        <w:docPartGallery w:val="Page Numbers (Top of Page)"/>
        <w:docPartUnique w:val="true"/>
      </w:docPartObj>
      <w:rPr/>
    </w:sdtPr>
    <w:sdtContent>
      <w:p>
        <w:pPr>
          <w:pStyle w:val="68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683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77"/>
    <w:next w:val="67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7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77"/>
    <w:next w:val="67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7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77"/>
    <w:next w:val="67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7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7"/>
    <w:next w:val="67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7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7"/>
    <w:next w:val="67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7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7"/>
    <w:next w:val="67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7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7"/>
    <w:next w:val="67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7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7"/>
    <w:next w:val="67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7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7"/>
    <w:next w:val="67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7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7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77"/>
    <w:next w:val="67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78"/>
    <w:link w:val="34"/>
    <w:uiPriority w:val="10"/>
    <w:rPr>
      <w:sz w:val="48"/>
      <w:szCs w:val="48"/>
    </w:rPr>
  </w:style>
  <w:style w:type="paragraph" w:styleId="36">
    <w:name w:val="Subtitle"/>
    <w:basedOn w:val="677"/>
    <w:next w:val="67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78"/>
    <w:link w:val="36"/>
    <w:uiPriority w:val="11"/>
    <w:rPr>
      <w:sz w:val="24"/>
      <w:szCs w:val="24"/>
    </w:rPr>
  </w:style>
  <w:style w:type="paragraph" w:styleId="38">
    <w:name w:val="Quote"/>
    <w:basedOn w:val="677"/>
    <w:next w:val="67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7"/>
    <w:next w:val="67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78"/>
    <w:link w:val="683"/>
    <w:uiPriority w:val="99"/>
  </w:style>
  <w:style w:type="character" w:styleId="45">
    <w:name w:val="Footer Char"/>
    <w:basedOn w:val="678"/>
    <w:link w:val="685"/>
    <w:uiPriority w:val="99"/>
  </w:style>
  <w:style w:type="paragraph" w:styleId="46">
    <w:name w:val="Caption"/>
    <w:basedOn w:val="677"/>
    <w:next w:val="67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7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7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7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7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78"/>
    <w:uiPriority w:val="99"/>
    <w:unhideWhenUsed/>
    <w:rPr>
      <w:vertAlign w:val="superscript"/>
    </w:rPr>
  </w:style>
  <w:style w:type="paragraph" w:styleId="178">
    <w:name w:val="endnote text"/>
    <w:basedOn w:val="67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78"/>
    <w:uiPriority w:val="99"/>
    <w:semiHidden/>
    <w:unhideWhenUsed/>
    <w:rPr>
      <w:vertAlign w:val="superscript"/>
    </w:rPr>
  </w:style>
  <w:style w:type="paragraph" w:styleId="181">
    <w:name w:val="toc 1"/>
    <w:basedOn w:val="677"/>
    <w:next w:val="67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7"/>
    <w:next w:val="67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7"/>
    <w:next w:val="67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7"/>
    <w:next w:val="67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7"/>
    <w:next w:val="67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7"/>
    <w:next w:val="67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7"/>
    <w:next w:val="67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7"/>
    <w:next w:val="67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7"/>
    <w:next w:val="67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7"/>
    <w:next w:val="677"/>
    <w:uiPriority w:val="99"/>
    <w:unhideWhenUsed/>
    <w:pPr>
      <w:spacing w:after="0" w:afterAutospacing="0"/>
    </w:pPr>
  </w:style>
  <w:style w:type="paragraph" w:styleId="677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78" w:default="1">
    <w:name w:val="Default Paragraph Font"/>
    <w:uiPriority w:val="1"/>
    <w:semiHidden/>
    <w:unhideWhenUsed/>
  </w:style>
  <w:style w:type="table" w:styleId="67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0" w:default="1">
    <w:name w:val="No List"/>
    <w:uiPriority w:val="99"/>
    <w:semiHidden/>
    <w:unhideWhenUsed/>
  </w:style>
  <w:style w:type="paragraph" w:styleId="681">
    <w:name w:val="Balloon Text"/>
    <w:basedOn w:val="677"/>
    <w:link w:val="682"/>
    <w:uiPriority w:val="99"/>
    <w:semiHidden/>
    <w:unhideWhenUsed/>
    <w:rPr>
      <w:rFonts w:ascii="Tahoma" w:hAnsi="Tahoma" w:cs="Tahoma"/>
      <w:sz w:val="16"/>
      <w:szCs w:val="16"/>
    </w:rPr>
  </w:style>
  <w:style w:type="character" w:styleId="682" w:customStyle="1">
    <w:name w:val="Текст выноски Знак"/>
    <w:basedOn w:val="678"/>
    <w:link w:val="681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683">
    <w:name w:val="Header"/>
    <w:basedOn w:val="677"/>
    <w:link w:val="68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84" w:customStyle="1">
    <w:name w:val="Верхний колонтитул Знак"/>
    <w:basedOn w:val="678"/>
    <w:link w:val="683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85">
    <w:name w:val="Footer"/>
    <w:basedOn w:val="677"/>
    <w:link w:val="686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86" w:customStyle="1">
    <w:name w:val="Нижний колонтитул Знак"/>
    <w:basedOn w:val="678"/>
    <w:link w:val="685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Relationship Id="rId10" Type="http://schemas.openxmlformats.org/officeDocument/2006/relationships/hyperlink" Target="https://login.consultant.ru/link/?req=doc&amp;base=LAW&amp;n=466154&amp;dst=2038" TargetMode="External"/><Relationship Id="rId11" Type="http://schemas.openxmlformats.org/officeDocument/2006/relationships/hyperlink" Target="https://login.consultant.ru/link/?req=doc&amp;base=LAW&amp;n=499084&amp;dst=100826" TargetMode="External"/><Relationship Id="rId12" Type="http://schemas.openxmlformats.org/officeDocument/2006/relationships/hyperlink" Target="https://login.consultant.ru/link/?req=doc&amp;base=LAW&amp;n=499084&amp;dst=100842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38ABF-E291-49DE-9691-701670E9C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Ионова Татьяна Ивановна</dc:creator>
  <cp:lastModifiedBy>Гулина Ирина Михайловна</cp:lastModifiedBy>
  <cp:revision>55</cp:revision>
  <dcterms:created xsi:type="dcterms:W3CDTF">2022-03-03T06:43:00Z</dcterms:created>
  <dcterms:modified xsi:type="dcterms:W3CDTF">2026-06-15T07:19:10Z</dcterms:modified>
</cp:coreProperties>
</file>